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6C" w:rsidRDefault="00D0406C">
      <w:pPr>
        <w:rPr>
          <w:b/>
          <w:u w:val="single"/>
        </w:rPr>
      </w:pPr>
      <w:r>
        <w:rPr>
          <w:b/>
          <w:u w:val="single"/>
        </w:rPr>
        <w:t>Notable Constitutional Decisions</w:t>
      </w:r>
    </w:p>
    <w:p w:rsidR="005E5D1E" w:rsidRPr="00D0406C" w:rsidRDefault="00D0406C">
      <w:pPr>
        <w:rPr>
          <w:i/>
        </w:rPr>
      </w:pPr>
      <w:r w:rsidRPr="00D0406C">
        <w:rPr>
          <w:i/>
        </w:rPr>
        <w:t xml:space="preserve">Summaries </w:t>
      </w:r>
    </w:p>
    <w:p w:rsidR="00D0406C" w:rsidRDefault="008D0751" w:rsidP="00D0406C">
      <w:pPr>
        <w:pStyle w:val="ListParagraph"/>
        <w:numPr>
          <w:ilvl w:val="0"/>
          <w:numId w:val="1"/>
        </w:numPr>
        <w:ind w:hanging="720"/>
      </w:pPr>
      <w:r>
        <w:rPr>
          <w:b/>
        </w:rPr>
        <w:t xml:space="preserve">Rudolph </w:t>
      </w:r>
      <w:proofErr w:type="spellStart"/>
      <w:r>
        <w:rPr>
          <w:b/>
        </w:rPr>
        <w:t>Maduro</w:t>
      </w:r>
      <w:proofErr w:type="spellEnd"/>
      <w:r>
        <w:rPr>
          <w:b/>
        </w:rPr>
        <w:t xml:space="preserve"> v. Commissioner of </w:t>
      </w:r>
      <w:r w:rsidR="00D0406C" w:rsidRPr="00D0406C">
        <w:rPr>
          <w:b/>
        </w:rPr>
        <w:t xml:space="preserve">the Virgin Islands Police Force et al </w:t>
      </w:r>
      <w:r w:rsidR="00D0406C">
        <w:t xml:space="preserve">HCVAP 2009/016 </w:t>
      </w:r>
    </w:p>
    <w:p w:rsidR="00D0406C" w:rsidRDefault="00F7645B" w:rsidP="00D0406C">
      <w:pPr>
        <w:ind w:left="720"/>
        <w:jc w:val="both"/>
      </w:pPr>
      <w:r>
        <w:t>High Court granted a d</w:t>
      </w:r>
      <w:r w:rsidR="008D0751">
        <w:t>eclaration of unconstitutionality in relation to section 308 of the Criminal Code 1997</w:t>
      </w:r>
      <w:r>
        <w:t xml:space="preserve">. In so doing, the </w:t>
      </w:r>
      <w:r w:rsidR="008D0751">
        <w:t xml:space="preserve">Court held </w:t>
      </w:r>
      <w:r>
        <w:t xml:space="preserve">the said section created an impermissible </w:t>
      </w:r>
      <w:r w:rsidR="008D0751">
        <w:t>r</w:t>
      </w:r>
      <w:r w:rsidR="00D0406C">
        <w:t>everse burden of proof</w:t>
      </w:r>
      <w:r>
        <w:t>.</w:t>
      </w:r>
      <w:r w:rsidR="008D0751">
        <w:t xml:space="preserve"> </w:t>
      </w:r>
      <w:r>
        <w:t xml:space="preserve">Thus, there was a breach of the Applicant’s </w:t>
      </w:r>
      <w:r w:rsidR="008D0751">
        <w:t xml:space="preserve">right to be </w:t>
      </w:r>
      <w:r w:rsidR="00D0406C">
        <w:t>presum</w:t>
      </w:r>
      <w:r w:rsidR="008D0751">
        <w:t>ed</w:t>
      </w:r>
      <w:r w:rsidR="00D0406C">
        <w:t xml:space="preserve"> innocen</w:t>
      </w:r>
      <w:r w:rsidR="008D0751">
        <w:t>t, until proven guilty contrary to</w:t>
      </w:r>
      <w:r w:rsidR="00D0406C">
        <w:t xml:space="preserve"> section 16 of the Constitution.</w:t>
      </w:r>
      <w:r w:rsidR="008D0751">
        <w:t xml:space="preserve">  </w:t>
      </w:r>
      <w:r>
        <w:t xml:space="preserve">Appeal to the Court of Appeal. </w:t>
      </w:r>
    </w:p>
    <w:p w:rsidR="00D0406C" w:rsidRDefault="008D0751" w:rsidP="00D0406C">
      <w:pPr>
        <w:ind w:left="720"/>
        <w:jc w:val="both"/>
      </w:pPr>
      <w:r w:rsidRPr="00F7645B">
        <w:rPr>
          <w:i/>
        </w:rPr>
        <w:t>Issues o</w:t>
      </w:r>
      <w:r w:rsidR="00D0406C" w:rsidRPr="00F7645B">
        <w:rPr>
          <w:i/>
        </w:rPr>
        <w:t xml:space="preserve">n </w:t>
      </w:r>
      <w:r w:rsidRPr="00F7645B">
        <w:rPr>
          <w:i/>
        </w:rPr>
        <w:t>a</w:t>
      </w:r>
      <w:r w:rsidR="00D0406C" w:rsidRPr="00F7645B">
        <w:rPr>
          <w:i/>
        </w:rPr>
        <w:t>ppeal:</w:t>
      </w:r>
      <w:r w:rsidR="00D0406C">
        <w:t xml:space="preserve"> Whether</w:t>
      </w:r>
      <w:r w:rsidR="00F7645B">
        <w:t xml:space="preserve"> the </w:t>
      </w:r>
      <w:r w:rsidR="00D0406C">
        <w:t>judge erred in declaring that section 308 of the Criminal Code 1997 was unconstitutional, without first determining wh</w:t>
      </w:r>
      <w:r>
        <w:t xml:space="preserve">ether the </w:t>
      </w:r>
      <w:r w:rsidR="00D0406C">
        <w:t xml:space="preserve">section could be adapted or modified to bring it into conformity with the Constitution pursuant to section 115 of the Constitution. </w:t>
      </w:r>
      <w:r w:rsidR="00F7645B">
        <w:t>In addition, w</w:t>
      </w:r>
      <w:r w:rsidR="00D0406C">
        <w:t>hether non-conformity</w:t>
      </w:r>
      <w:r>
        <w:t xml:space="preserve"> </w:t>
      </w:r>
      <w:r w:rsidR="00D0406C">
        <w:t>with the Constitution</w:t>
      </w:r>
      <w:r>
        <w:t>, without more,</w:t>
      </w:r>
      <w:r w:rsidR="00D0406C">
        <w:t xml:space="preserve"> renders </w:t>
      </w:r>
      <w:r>
        <w:t xml:space="preserve">a </w:t>
      </w:r>
      <w:r w:rsidR="00D0406C">
        <w:t>statutory provision unconstitutional.</w:t>
      </w:r>
    </w:p>
    <w:p w:rsidR="00D0406C" w:rsidRDefault="00F7645B" w:rsidP="00D0406C">
      <w:pPr>
        <w:ind w:left="720"/>
        <w:jc w:val="both"/>
      </w:pPr>
      <w:r>
        <w:t xml:space="preserve">The </w:t>
      </w:r>
      <w:r w:rsidR="00D0406C">
        <w:t xml:space="preserve">Court of Appeal allowed the appeal and set aside the </w:t>
      </w:r>
      <w:r>
        <w:t xml:space="preserve">High Court’s </w:t>
      </w:r>
      <w:r w:rsidR="00D0406C">
        <w:t xml:space="preserve">declaration that section 308 of the Criminal Code 1997 is unconstitutional. </w:t>
      </w:r>
      <w:r>
        <w:t xml:space="preserve">The matter was </w:t>
      </w:r>
      <w:r w:rsidR="00D0406C">
        <w:t xml:space="preserve">remitted to the High Court </w:t>
      </w:r>
      <w:r>
        <w:t xml:space="preserve">so that the </w:t>
      </w:r>
      <w:r w:rsidR="00D0406C">
        <w:t>exercise envisaged by section 115 of the Constitution</w:t>
      </w:r>
      <w:r>
        <w:t xml:space="preserve"> could be conducted.  Thereafter,</w:t>
      </w:r>
      <w:r w:rsidR="00D0406C">
        <w:t xml:space="preserve"> the constitutional fate of section 308 of the Criminal Code</w:t>
      </w:r>
      <w:r>
        <w:t xml:space="preserve"> could be determined</w:t>
      </w:r>
      <w:r w:rsidR="00D0406C">
        <w:t xml:space="preserve">.   </w:t>
      </w:r>
    </w:p>
    <w:p w:rsidR="00D0406C" w:rsidRDefault="00D0406C" w:rsidP="00D0406C">
      <w:pPr>
        <w:jc w:val="both"/>
      </w:pPr>
    </w:p>
    <w:p w:rsidR="00D0406C" w:rsidRPr="00D0406C" w:rsidRDefault="00D0406C" w:rsidP="00D0406C">
      <w:pPr>
        <w:pStyle w:val="ListParagraph"/>
        <w:numPr>
          <w:ilvl w:val="0"/>
          <w:numId w:val="1"/>
        </w:numPr>
        <w:jc w:val="both"/>
        <w:rPr>
          <w:b/>
        </w:rPr>
      </w:pPr>
      <w:r w:rsidRPr="00D0406C">
        <w:rPr>
          <w:b/>
        </w:rPr>
        <w:t xml:space="preserve">Desmond </w:t>
      </w:r>
      <w:proofErr w:type="spellStart"/>
      <w:r w:rsidRPr="00D0406C">
        <w:rPr>
          <w:b/>
        </w:rPr>
        <w:t>Emmanual</w:t>
      </w:r>
      <w:proofErr w:type="spellEnd"/>
      <w:r w:rsidRPr="00D0406C">
        <w:rPr>
          <w:b/>
        </w:rPr>
        <w:t xml:space="preserve"> Alphonso v Attorney General of the Virgin Islands </w:t>
      </w:r>
      <w:r w:rsidRPr="00D0406C">
        <w:t>Claim No. BVIHCV2010</w:t>
      </w:r>
      <w:r w:rsidR="00F7645B">
        <w:t>/</w:t>
      </w:r>
      <w:r w:rsidRPr="00D0406C">
        <w:t>105</w:t>
      </w:r>
    </w:p>
    <w:p w:rsidR="00F7645B" w:rsidRDefault="00D0406C" w:rsidP="00F7645B">
      <w:pPr>
        <w:spacing w:after="0"/>
        <w:ind w:left="720"/>
        <w:jc w:val="both"/>
      </w:pPr>
      <w:r w:rsidRPr="00F7645B">
        <w:rPr>
          <w:bCs/>
        </w:rPr>
        <w:t>A</w:t>
      </w:r>
      <w:r w:rsidR="00F7645B">
        <w:rPr>
          <w:bCs/>
        </w:rPr>
        <w:t xml:space="preserve">pplicant </w:t>
      </w:r>
      <w:r w:rsidRPr="00F7645B">
        <w:rPr>
          <w:bCs/>
        </w:rPr>
        <w:t>convicted of offence punishable with imprisonment for three months or more</w:t>
      </w:r>
      <w:r w:rsidR="00F7645B">
        <w:rPr>
          <w:bCs/>
        </w:rPr>
        <w:t>.</w:t>
      </w:r>
      <w:r w:rsidRPr="00F7645B">
        <w:rPr>
          <w:bCs/>
        </w:rPr>
        <w:t xml:space="preserve"> Governor issued deportation order</w:t>
      </w:r>
      <w:r w:rsidR="00F7645B">
        <w:rPr>
          <w:bCs/>
        </w:rPr>
        <w:t>.</w:t>
      </w:r>
      <w:r w:rsidRPr="00F7645B">
        <w:rPr>
          <w:bCs/>
        </w:rPr>
        <w:t xml:space="preserve"> A</w:t>
      </w:r>
      <w:r w:rsidR="00F7645B">
        <w:rPr>
          <w:bCs/>
        </w:rPr>
        <w:t>pplicant</w:t>
      </w:r>
      <w:r w:rsidRPr="00F7645B">
        <w:rPr>
          <w:bCs/>
        </w:rPr>
        <w:t xml:space="preserve"> appealed the deportation </w:t>
      </w:r>
      <w:r w:rsidRPr="00D0406C">
        <w:t>order</w:t>
      </w:r>
      <w:r w:rsidR="00F7645B">
        <w:t>.</w:t>
      </w:r>
      <w:r w:rsidRPr="00D0406C">
        <w:t xml:space="preserve"> A</w:t>
      </w:r>
      <w:r w:rsidR="00F7645B">
        <w:t xml:space="preserve">pplicant </w:t>
      </w:r>
      <w:r w:rsidRPr="00D0406C">
        <w:t>filed</w:t>
      </w:r>
      <w:r>
        <w:t xml:space="preserve"> </w:t>
      </w:r>
      <w:r w:rsidRPr="00D0406C">
        <w:t>Originatin</w:t>
      </w:r>
      <w:r w:rsidR="00F7645B">
        <w:t xml:space="preserve">g </w:t>
      </w:r>
      <w:r w:rsidRPr="00D0406C">
        <w:t xml:space="preserve">Motion in High Court challenging </w:t>
      </w:r>
      <w:r w:rsidR="00F7645B">
        <w:t xml:space="preserve">his deportation, and that </w:t>
      </w:r>
      <w:r w:rsidRPr="00D0406C">
        <w:t>Governor should not hear the appeal</w:t>
      </w:r>
      <w:r w:rsidR="00F7645B">
        <w:t xml:space="preserve"> since the Governor made the Order.  </w:t>
      </w:r>
      <w:r w:rsidRPr="00D0406C">
        <w:t>Appeal stayed</w:t>
      </w:r>
      <w:r w:rsidR="00F7645B">
        <w:t>,</w:t>
      </w:r>
      <w:r w:rsidRPr="00D0406C">
        <w:t xml:space="preserve"> pending hearing of th</w:t>
      </w:r>
      <w:r w:rsidR="00F7645B">
        <w:t>e High Court</w:t>
      </w:r>
      <w:r w:rsidRPr="00D0406C">
        <w:t xml:space="preserve"> proceedings</w:t>
      </w:r>
      <w:r w:rsidR="00F7645B">
        <w:t xml:space="preserve">.  </w:t>
      </w:r>
    </w:p>
    <w:p w:rsidR="00F7645B" w:rsidRDefault="00F7645B" w:rsidP="00F7645B">
      <w:pPr>
        <w:spacing w:after="0"/>
        <w:ind w:left="720"/>
      </w:pPr>
    </w:p>
    <w:p w:rsidR="00D0406C" w:rsidRDefault="00F7645B" w:rsidP="00F7645B">
      <w:pPr>
        <w:spacing w:after="0"/>
        <w:ind w:left="720"/>
        <w:jc w:val="both"/>
      </w:pPr>
      <w:r>
        <w:t xml:space="preserve">Issues to be determined: </w:t>
      </w:r>
      <w:r w:rsidR="00D0406C" w:rsidRPr="00D0406C">
        <w:t xml:space="preserve">Whether </w:t>
      </w:r>
      <w:r>
        <w:t>Applicant</w:t>
      </w:r>
      <w:r w:rsidR="00D0406C" w:rsidRPr="00D0406C">
        <w:t xml:space="preserve"> has a right to</w:t>
      </w:r>
      <w:r>
        <w:t xml:space="preserve"> </w:t>
      </w:r>
      <w:r w:rsidR="00D0406C" w:rsidRPr="00D0406C">
        <w:t>be given reasons</w:t>
      </w:r>
      <w:r>
        <w:t xml:space="preserve"> for the making of the deportation</w:t>
      </w:r>
      <w:r w:rsidR="00D0406C" w:rsidRPr="00D0406C">
        <w:t xml:space="preserve"> order - exercise of executive powers of</w:t>
      </w:r>
      <w:r>
        <w:t xml:space="preserve"> </w:t>
      </w:r>
      <w:r w:rsidR="00D0406C" w:rsidRPr="00D0406C">
        <w:t xml:space="preserve"> - Right to deport or expel </w:t>
      </w:r>
      <w:r>
        <w:t xml:space="preserve">an </w:t>
      </w:r>
      <w:r w:rsidR="00D0406C" w:rsidRPr="00D0406C">
        <w:t xml:space="preserve">alien at pleasure - </w:t>
      </w:r>
      <w:r>
        <w:t>S</w:t>
      </w:r>
      <w:r w:rsidRPr="00D0406C">
        <w:t>ections 40</w:t>
      </w:r>
      <w:r>
        <w:t xml:space="preserve"> </w:t>
      </w:r>
      <w:r w:rsidRPr="00D0406C">
        <w:t>(I) and 40</w:t>
      </w:r>
      <w:r>
        <w:t xml:space="preserve"> </w:t>
      </w:r>
      <w:r w:rsidRPr="00D0406C">
        <w:t>(3)</w:t>
      </w:r>
      <w:r>
        <w:t xml:space="preserve"> of the </w:t>
      </w:r>
      <w:r w:rsidR="00D0406C" w:rsidRPr="00D0406C">
        <w:t>Immigration and Passport Act,</w:t>
      </w:r>
      <w:r w:rsidR="00D0406C">
        <w:t xml:space="preserve"> C</w:t>
      </w:r>
      <w:r w:rsidR="00D0406C" w:rsidRPr="00D0406C">
        <w:t>ap. 130</w:t>
      </w:r>
      <w:r>
        <w:t>.</w:t>
      </w:r>
      <w:r w:rsidR="00D0406C" w:rsidRPr="00D0406C">
        <w:t xml:space="preserve"> </w:t>
      </w:r>
      <w:r>
        <w:t>Section</w:t>
      </w:r>
      <w:r w:rsidR="00D0406C" w:rsidRPr="00D0406C">
        <w:t xml:space="preserve"> 16</w:t>
      </w:r>
      <w:r>
        <w:t xml:space="preserve"> </w:t>
      </w:r>
      <w:r w:rsidR="00D0406C" w:rsidRPr="00D0406C">
        <w:t>(9) of Constitution</w:t>
      </w:r>
      <w:r>
        <w:t>,</w:t>
      </w:r>
      <w:r w:rsidR="00D0406C" w:rsidRPr="00D0406C">
        <w:t xml:space="preserve"> </w:t>
      </w:r>
      <w:r>
        <w:t>r</w:t>
      </w:r>
      <w:r w:rsidR="00D0406C" w:rsidRPr="00D0406C">
        <w:t>ight to</w:t>
      </w:r>
      <w:r>
        <w:t xml:space="preserve"> </w:t>
      </w:r>
      <w:r w:rsidR="00D0406C" w:rsidRPr="00D0406C">
        <w:t>fair hearing in determining "civil rights and obligations"</w:t>
      </w:r>
      <w:r>
        <w:t xml:space="preserve">.  </w:t>
      </w:r>
      <w:r w:rsidR="00D0406C" w:rsidRPr="00D0406C">
        <w:t xml:space="preserve">Non-applicability of </w:t>
      </w:r>
      <w:r>
        <w:t xml:space="preserve">section </w:t>
      </w:r>
      <w:r w:rsidR="00D0406C" w:rsidRPr="00D0406C">
        <w:t>16</w:t>
      </w:r>
      <w:r>
        <w:t xml:space="preserve"> </w:t>
      </w:r>
      <w:r w:rsidR="00D0406C" w:rsidRPr="00D0406C">
        <w:t>(9)</w:t>
      </w:r>
      <w:r>
        <w:t xml:space="preserve"> </w:t>
      </w:r>
      <w:r w:rsidR="00D0406C" w:rsidRPr="00D0406C">
        <w:t>to deportation proceedings</w:t>
      </w:r>
      <w:r>
        <w:t>. F</w:t>
      </w:r>
      <w:r w:rsidR="00D0406C" w:rsidRPr="00D0406C">
        <w:t>reedom of movement</w:t>
      </w:r>
      <w:r>
        <w:t>,</w:t>
      </w:r>
      <w:r w:rsidR="00D0406C" w:rsidRPr="00D0406C">
        <w:t xml:space="preserve"> </w:t>
      </w:r>
      <w:r>
        <w:t>section</w:t>
      </w:r>
      <w:r w:rsidR="00D0406C" w:rsidRPr="00D0406C">
        <w:t xml:space="preserve"> 18 of Constitution</w:t>
      </w:r>
      <w:r w:rsidR="00D0406C">
        <w:t xml:space="preserve"> </w:t>
      </w:r>
      <w:r>
        <w:t>and p</w:t>
      </w:r>
      <w:r w:rsidR="00D0406C" w:rsidRPr="00D0406C">
        <w:t>rinciples</w:t>
      </w:r>
      <w:r w:rsidR="00D0406C">
        <w:t xml:space="preserve"> </w:t>
      </w:r>
      <w:r w:rsidR="00D0406C" w:rsidRPr="00D0406C">
        <w:t>of natural justice</w:t>
      </w:r>
      <w:r>
        <w:t>.</w:t>
      </w:r>
      <w:r w:rsidR="00D0406C" w:rsidRPr="00D0406C">
        <w:t xml:space="preserve"> Whether Governor </w:t>
      </w:r>
      <w:r>
        <w:t>c</w:t>
      </w:r>
      <w:r w:rsidR="00D0406C" w:rsidRPr="00D0406C">
        <w:t>ould be impartial on hearing</w:t>
      </w:r>
      <w:r>
        <w:t xml:space="preserve"> an</w:t>
      </w:r>
      <w:r w:rsidR="00D0406C" w:rsidRPr="00D0406C">
        <w:t xml:space="preserve"> appeal </w:t>
      </w:r>
      <w:r>
        <w:t xml:space="preserve">of an order made by him </w:t>
      </w:r>
      <w:r w:rsidR="00D0406C">
        <w:t>–</w:t>
      </w:r>
      <w:r w:rsidR="00D0406C" w:rsidRPr="00D0406C">
        <w:t xml:space="preserve"> </w:t>
      </w:r>
      <w:proofErr w:type="spellStart"/>
      <w:r w:rsidR="00D0406C" w:rsidRPr="00D0406C">
        <w:rPr>
          <w:i/>
          <w:iCs/>
        </w:rPr>
        <w:t>audi</w:t>
      </w:r>
      <w:proofErr w:type="spellEnd"/>
      <w:r w:rsidR="00D0406C">
        <w:rPr>
          <w:i/>
          <w:iCs/>
        </w:rPr>
        <w:t xml:space="preserve"> </w:t>
      </w:r>
      <w:proofErr w:type="spellStart"/>
      <w:r w:rsidR="00D0406C" w:rsidRPr="00D0406C">
        <w:rPr>
          <w:i/>
          <w:iCs/>
        </w:rPr>
        <w:t>alteram</w:t>
      </w:r>
      <w:proofErr w:type="spellEnd"/>
      <w:r w:rsidR="00D0406C" w:rsidRPr="00D0406C">
        <w:rPr>
          <w:i/>
          <w:iCs/>
        </w:rPr>
        <w:t xml:space="preserve"> </w:t>
      </w:r>
      <w:proofErr w:type="spellStart"/>
      <w:r w:rsidR="00D0406C" w:rsidRPr="00D0406C">
        <w:rPr>
          <w:i/>
          <w:iCs/>
        </w:rPr>
        <w:t>partem</w:t>
      </w:r>
      <w:proofErr w:type="spellEnd"/>
      <w:r w:rsidR="00D0406C" w:rsidRPr="00D0406C">
        <w:rPr>
          <w:i/>
          <w:iCs/>
        </w:rPr>
        <w:t xml:space="preserve"> </w:t>
      </w:r>
      <w:r w:rsidR="00D0406C" w:rsidRPr="00D0406C">
        <w:t xml:space="preserve">and </w:t>
      </w:r>
      <w:r w:rsidR="00D0406C" w:rsidRPr="00D0406C">
        <w:rPr>
          <w:i/>
          <w:iCs/>
        </w:rPr>
        <w:t xml:space="preserve">nemo </w:t>
      </w:r>
      <w:proofErr w:type="spellStart"/>
      <w:r w:rsidR="00D0406C" w:rsidRPr="00D0406C">
        <w:rPr>
          <w:i/>
          <w:iCs/>
        </w:rPr>
        <w:t>judex</w:t>
      </w:r>
      <w:proofErr w:type="spellEnd"/>
      <w:r w:rsidR="00D0406C" w:rsidRPr="00D0406C">
        <w:rPr>
          <w:i/>
          <w:iCs/>
        </w:rPr>
        <w:t xml:space="preserve"> </w:t>
      </w:r>
      <w:r w:rsidR="00D0406C" w:rsidRPr="00D0406C">
        <w:t xml:space="preserve">in </w:t>
      </w:r>
      <w:r w:rsidR="00D0406C" w:rsidRPr="00D0406C">
        <w:rPr>
          <w:i/>
          <w:iCs/>
        </w:rPr>
        <w:t xml:space="preserve">causa </w:t>
      </w:r>
      <w:proofErr w:type="spellStart"/>
      <w:r w:rsidR="00D0406C" w:rsidRPr="00D0406C">
        <w:rPr>
          <w:i/>
          <w:iCs/>
        </w:rPr>
        <w:t>sua</w:t>
      </w:r>
      <w:proofErr w:type="spellEnd"/>
      <w:r w:rsidR="00D0406C" w:rsidRPr="00D0406C">
        <w:rPr>
          <w:i/>
          <w:iCs/>
        </w:rPr>
        <w:t xml:space="preserve"> </w:t>
      </w:r>
      <w:r w:rsidR="00D0406C" w:rsidRPr="00D0406C">
        <w:t>rules inapplicable.</w:t>
      </w:r>
      <w:r>
        <w:t xml:space="preserve"> Claim dismissed.</w:t>
      </w:r>
    </w:p>
    <w:p w:rsidR="00D0406C" w:rsidRDefault="00D0406C" w:rsidP="00D0406C">
      <w:pPr>
        <w:spacing w:after="0"/>
        <w:ind w:left="1440"/>
      </w:pPr>
    </w:p>
    <w:p w:rsidR="00D0406C" w:rsidRDefault="00D0406C" w:rsidP="00D0406C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 w:rsidRPr="00D0406C">
        <w:rPr>
          <w:b/>
        </w:rPr>
        <w:t>Tova</w:t>
      </w:r>
      <w:proofErr w:type="spellEnd"/>
      <w:r w:rsidRPr="00D0406C">
        <w:rPr>
          <w:b/>
        </w:rPr>
        <w:t xml:space="preserve"> King et al v. Attorney General</w:t>
      </w:r>
      <w:r>
        <w:t xml:space="preserve"> BVIHCV2013/0324 – </w:t>
      </w:r>
      <w:r w:rsidR="00F7645B">
        <w:t>Applicant sought a declaration that his d</w:t>
      </w:r>
      <w:r>
        <w:t xml:space="preserve">eportation </w:t>
      </w:r>
      <w:r w:rsidR="00F7645B">
        <w:t xml:space="preserve">would constitute </w:t>
      </w:r>
      <w:r>
        <w:t xml:space="preserve">a disproportionate interference with </w:t>
      </w:r>
      <w:r w:rsidR="00F7645B">
        <w:t xml:space="preserve">the </w:t>
      </w:r>
      <w:r>
        <w:t>Applicant’s constitutional right to private and family life protected by section 19 of the Constitution.</w:t>
      </w:r>
      <w:r w:rsidR="00F7645B">
        <w:t xml:space="preserve"> Relief sought, granted.</w:t>
      </w:r>
    </w:p>
    <w:p w:rsidR="00D0406C" w:rsidRDefault="00D0406C" w:rsidP="00D0406C">
      <w:pPr>
        <w:spacing w:after="0"/>
      </w:pPr>
    </w:p>
    <w:p w:rsidR="00D0406C" w:rsidRDefault="00D0406C" w:rsidP="00D0406C">
      <w:pPr>
        <w:spacing w:after="0"/>
      </w:pPr>
    </w:p>
    <w:p w:rsidR="00D0406C" w:rsidRDefault="00D0406C" w:rsidP="00D0406C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>
        <w:rPr>
          <w:b/>
        </w:rPr>
        <w:t>Partnerselskabet</w:t>
      </w:r>
      <w:proofErr w:type="spellEnd"/>
      <w:r>
        <w:rPr>
          <w:b/>
        </w:rPr>
        <w:t xml:space="preserve"> Parsifal v. The Attorney General </w:t>
      </w:r>
      <w:r>
        <w:t xml:space="preserve">BVIHCV2014/0151 – Applicant sought a </w:t>
      </w:r>
      <w:bookmarkStart w:id="0" w:name="_GoBack"/>
      <w:bookmarkEnd w:id="0"/>
      <w:r>
        <w:t xml:space="preserve">declaration that section 464 of the Merchant Shipping Act, 2001 </w:t>
      </w:r>
      <w:r w:rsidR="00F7645B">
        <w:t xml:space="preserve">is </w:t>
      </w:r>
      <w:r>
        <w:t xml:space="preserve">unconstitutional, null and void. </w:t>
      </w:r>
      <w:r>
        <w:lastRenderedPageBreak/>
        <w:t xml:space="preserve">Declaration sought on the basis that the legislature’s purported delegation of powers to the </w:t>
      </w:r>
      <w:r w:rsidRPr="00D0406C">
        <w:t>Governor in Council (</w:t>
      </w:r>
      <w:r w:rsidR="00F7645B">
        <w:t xml:space="preserve">i.e. </w:t>
      </w:r>
      <w:r w:rsidRPr="00D0406C">
        <w:t xml:space="preserve">Cabinet) in consultation with the Secretary of State for Transport </w:t>
      </w:r>
      <w:r w:rsidR="00157476">
        <w:t xml:space="preserve">of the United Kingdom, </w:t>
      </w:r>
      <w:r w:rsidRPr="00D0406C">
        <w:t>to mak</w:t>
      </w:r>
      <w:r>
        <w:t xml:space="preserve">e secondary legislation by Order which could include provisions to repeal or amend </w:t>
      </w:r>
      <w:r w:rsidR="00157476">
        <w:t>“</w:t>
      </w:r>
      <w:r w:rsidRPr="00157476">
        <w:rPr>
          <w:i/>
        </w:rPr>
        <w:t>any provision of any enactment</w:t>
      </w:r>
      <w:r w:rsidR="00157476">
        <w:t>”</w:t>
      </w:r>
      <w:r>
        <w:t xml:space="preserve"> breached the doctrine of separation of powers</w:t>
      </w:r>
      <w:r w:rsidR="00F7645B">
        <w:t>,</w:t>
      </w:r>
      <w:r>
        <w:t xml:space="preserve"> and accordingly any secondary legislation made in accordance with the said section 4</w:t>
      </w:r>
      <w:r w:rsidR="00157476">
        <w:t>6</w:t>
      </w:r>
      <w:r>
        <w:t>4</w:t>
      </w:r>
      <w:r w:rsidR="00F7645B">
        <w:t xml:space="preserve"> is </w:t>
      </w:r>
      <w:r>
        <w:t>unconstitutional, null and void.</w:t>
      </w:r>
      <w:r w:rsidR="00F7645B">
        <w:t xml:space="preserve"> Relief sought, granted. </w:t>
      </w:r>
      <w:r>
        <w:t xml:space="preserve"> </w:t>
      </w:r>
    </w:p>
    <w:p w:rsidR="00D0406C" w:rsidRPr="00D0406C" w:rsidRDefault="00D0406C" w:rsidP="00D0406C">
      <w:pPr>
        <w:pStyle w:val="ListParagraph"/>
        <w:spacing w:after="0"/>
        <w:jc w:val="both"/>
      </w:pPr>
      <w:r>
        <w:t xml:space="preserve">  </w:t>
      </w:r>
      <w:r>
        <w:rPr>
          <w:b/>
        </w:rPr>
        <w:t xml:space="preserve"> </w:t>
      </w:r>
    </w:p>
    <w:p w:rsidR="00D0406C" w:rsidRDefault="00D0406C" w:rsidP="00D0406C">
      <w:pPr>
        <w:pStyle w:val="ListParagraph"/>
        <w:numPr>
          <w:ilvl w:val="0"/>
          <w:numId w:val="1"/>
        </w:numPr>
        <w:spacing w:after="0"/>
        <w:jc w:val="both"/>
      </w:pPr>
      <w:r w:rsidRPr="00D0406C">
        <w:rPr>
          <w:b/>
        </w:rPr>
        <w:t xml:space="preserve">Mark </w:t>
      </w:r>
      <w:proofErr w:type="spellStart"/>
      <w:r w:rsidRPr="00D0406C">
        <w:rPr>
          <w:b/>
        </w:rPr>
        <w:t>Defreitas</w:t>
      </w:r>
      <w:proofErr w:type="spellEnd"/>
      <w:r w:rsidRPr="00D0406C">
        <w:rPr>
          <w:b/>
        </w:rPr>
        <w:t xml:space="preserve"> v Attorney General </w:t>
      </w:r>
      <w:r>
        <w:t xml:space="preserve">BVIHCV208/2014 – </w:t>
      </w:r>
      <w:r w:rsidRPr="00D0406C">
        <w:t>A</w:t>
      </w:r>
      <w:r>
        <w:t xml:space="preserve">pplicant sought </w:t>
      </w:r>
      <w:r w:rsidR="00F7645B">
        <w:t xml:space="preserve">a </w:t>
      </w:r>
      <w:r>
        <w:t>d</w:t>
      </w:r>
      <w:r w:rsidRPr="00D0406C">
        <w:t xml:space="preserve">eclaration that </w:t>
      </w:r>
      <w:r w:rsidR="00F7645B">
        <w:t xml:space="preserve">an </w:t>
      </w:r>
      <w:r>
        <w:t xml:space="preserve">order for Applicant’s deportation constituted a </w:t>
      </w:r>
      <w:r w:rsidRPr="00D0406C">
        <w:t xml:space="preserve">disproportionate interference with the </w:t>
      </w:r>
      <w:r>
        <w:t>Applicant’s</w:t>
      </w:r>
      <w:r w:rsidRPr="00D0406C">
        <w:t xml:space="preserve"> fundamental right to private</w:t>
      </w:r>
      <w:r>
        <w:t xml:space="preserve"> </w:t>
      </w:r>
      <w:r w:rsidRPr="00D0406C">
        <w:t xml:space="preserve">and family life and right to marry and found a family enshrined in </w:t>
      </w:r>
      <w:r>
        <w:t>sections</w:t>
      </w:r>
      <w:r w:rsidRPr="00D0406C">
        <w:t xml:space="preserve"> 9,</w:t>
      </w:r>
      <w:r>
        <w:t xml:space="preserve"> </w:t>
      </w:r>
      <w:r w:rsidRPr="00D0406C">
        <w:t>19 and 20 of the Constitution.</w:t>
      </w:r>
      <w:r w:rsidR="00F7645B">
        <w:t xml:space="preserve"> Claim dismissed.</w:t>
      </w:r>
    </w:p>
    <w:p w:rsidR="00D0406C" w:rsidRDefault="00D0406C" w:rsidP="00D0406C">
      <w:pPr>
        <w:pStyle w:val="ListParagraph"/>
        <w:spacing w:after="0"/>
        <w:jc w:val="both"/>
      </w:pPr>
    </w:p>
    <w:p w:rsidR="00F7645B" w:rsidRDefault="00D0406C" w:rsidP="00F7645B">
      <w:pPr>
        <w:pStyle w:val="ListParagraph"/>
        <w:numPr>
          <w:ilvl w:val="0"/>
          <w:numId w:val="1"/>
        </w:numPr>
        <w:spacing w:after="0"/>
        <w:jc w:val="both"/>
      </w:pPr>
      <w:r>
        <w:rPr>
          <w:b/>
        </w:rPr>
        <w:t xml:space="preserve">Peter Gray et al v Attorney General et al </w:t>
      </w:r>
      <w:r>
        <w:t xml:space="preserve">BVIHCV2016/0037 and BVIHCV2016/0050 – Applicants sought a declaration that the deportation of the First Applicant constituted a disproportionate interference with the Applicants’ fundamental right to private and family life protected by section 19 of the Constitution. First and Second Applicants </w:t>
      </w:r>
      <w:r w:rsidR="00F7645B">
        <w:t xml:space="preserve">also </w:t>
      </w:r>
      <w:r>
        <w:t xml:space="preserve">sought a declaration that the deportation of the First Applicant constituted a disproportionate interference with their right to marry and found a family as protected by 20 of the Constitution. </w:t>
      </w:r>
      <w:r w:rsidR="00F7645B">
        <w:t>Claim dismissed.</w:t>
      </w:r>
    </w:p>
    <w:p w:rsidR="00F7645B" w:rsidRPr="00F7645B" w:rsidRDefault="00F7645B" w:rsidP="00F7645B">
      <w:pPr>
        <w:pStyle w:val="ListParagraph"/>
        <w:rPr>
          <w:rFonts w:cstheme="minorHAnsi"/>
          <w:b/>
        </w:rPr>
      </w:pPr>
    </w:p>
    <w:p w:rsidR="00D0406C" w:rsidRPr="00F7645B" w:rsidRDefault="00D0406C" w:rsidP="00F7645B">
      <w:pPr>
        <w:pStyle w:val="ListParagraph"/>
        <w:numPr>
          <w:ilvl w:val="0"/>
          <w:numId w:val="1"/>
        </w:numPr>
        <w:spacing w:after="0"/>
        <w:jc w:val="both"/>
      </w:pPr>
      <w:r w:rsidRPr="00F7645B">
        <w:rPr>
          <w:rFonts w:cstheme="minorHAnsi"/>
          <w:b/>
        </w:rPr>
        <w:t xml:space="preserve">Mark </w:t>
      </w:r>
      <w:proofErr w:type="spellStart"/>
      <w:r w:rsidRPr="00F7645B">
        <w:rPr>
          <w:rFonts w:cstheme="minorHAnsi"/>
          <w:b/>
        </w:rPr>
        <w:t>Vanterpool</w:t>
      </w:r>
      <w:proofErr w:type="spellEnd"/>
      <w:r w:rsidRPr="00F7645B">
        <w:rPr>
          <w:rFonts w:cstheme="minorHAnsi"/>
          <w:b/>
        </w:rPr>
        <w:t xml:space="preserve"> v. Julian Willock et al </w:t>
      </w:r>
      <w:r w:rsidRPr="00F7645B">
        <w:rPr>
          <w:rFonts w:cstheme="minorHAnsi"/>
        </w:rPr>
        <w:t xml:space="preserve">BVIHCV2019/0087 – </w:t>
      </w:r>
      <w:r w:rsidR="00F7645B" w:rsidRPr="00F7645B">
        <w:rPr>
          <w:rFonts w:cstheme="minorHAnsi"/>
        </w:rPr>
        <w:t>Issue to be determined by the Court - W</w:t>
      </w:r>
      <w:r w:rsidRPr="00F7645B">
        <w:rPr>
          <w:rFonts w:cstheme="minorHAnsi"/>
        </w:rPr>
        <w:t xml:space="preserve">hether Applicant could resign as a Member of the House of Assembly pursuant to section 67(3)(a) of the Constitution, prior to taking the Oath; and whether </w:t>
      </w:r>
      <w:r w:rsidR="00F7645B" w:rsidRPr="00F7645B">
        <w:rPr>
          <w:rFonts w:cstheme="minorHAnsi"/>
        </w:rPr>
        <w:t>the Applicant’s</w:t>
      </w:r>
      <w:r w:rsidRPr="00F7645B">
        <w:rPr>
          <w:rFonts w:cstheme="minorHAnsi"/>
        </w:rPr>
        <w:t xml:space="preserve"> resignation letter addressed to the Clerk of the House</w:t>
      </w:r>
      <w:r w:rsidR="00F7645B" w:rsidRPr="00F7645B">
        <w:rPr>
          <w:rFonts w:cstheme="minorHAnsi"/>
        </w:rPr>
        <w:t>,</w:t>
      </w:r>
      <w:r w:rsidRPr="00F7645B">
        <w:rPr>
          <w:rFonts w:cstheme="minorHAnsi"/>
        </w:rPr>
        <w:t xml:space="preserve"> and not the Speaker as required by section 67(3)(a) </w:t>
      </w:r>
      <w:r w:rsidR="00F7645B" w:rsidRPr="00F7645B">
        <w:rPr>
          <w:rFonts w:cstheme="minorHAnsi"/>
        </w:rPr>
        <w:t xml:space="preserve">of the Constitution, was </w:t>
      </w:r>
      <w:r w:rsidRPr="00F7645B">
        <w:rPr>
          <w:rFonts w:cstheme="minorHAnsi"/>
        </w:rPr>
        <w:t xml:space="preserve">valid for the purposes of resignation. </w:t>
      </w:r>
      <w:r w:rsidR="00F7645B" w:rsidRPr="00F7645B">
        <w:rPr>
          <w:rFonts w:cstheme="minorHAnsi"/>
        </w:rPr>
        <w:t>Relief sought, granted (</w:t>
      </w:r>
      <w:r w:rsidR="00F7645B" w:rsidRPr="00F7645B">
        <w:rPr>
          <w:rFonts w:cstheme="minorHAnsi"/>
          <w:i/>
        </w:rPr>
        <w:t>i.e. a declaration that the Applicant should be sworn in as the Representative of the Fourth Electoral District</w:t>
      </w:r>
      <w:r w:rsidR="00F7645B" w:rsidRPr="00F7645B">
        <w:rPr>
          <w:rFonts w:cstheme="minorHAnsi"/>
        </w:rPr>
        <w:t xml:space="preserve">).  </w:t>
      </w:r>
    </w:p>
    <w:p w:rsidR="00D0406C" w:rsidRPr="00D0406C" w:rsidRDefault="00D0406C" w:rsidP="00D0406C">
      <w:pPr>
        <w:pStyle w:val="ListParagraph"/>
        <w:rPr>
          <w:b/>
        </w:rPr>
      </w:pPr>
    </w:p>
    <w:p w:rsidR="00D0406C" w:rsidRDefault="00D0406C" w:rsidP="00D0406C">
      <w:pPr>
        <w:pStyle w:val="ListParagraph"/>
      </w:pPr>
    </w:p>
    <w:sectPr w:rsidR="00D04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45D"/>
    <w:multiLevelType w:val="hybridMultilevel"/>
    <w:tmpl w:val="5BB6E14E"/>
    <w:lvl w:ilvl="0" w:tplc="DC728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E5F"/>
    <w:multiLevelType w:val="hybridMultilevel"/>
    <w:tmpl w:val="5BB6E14E"/>
    <w:lvl w:ilvl="0" w:tplc="DC728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6C"/>
    <w:rsid w:val="00157476"/>
    <w:rsid w:val="005E5D1E"/>
    <w:rsid w:val="008D0751"/>
    <w:rsid w:val="00A65B11"/>
    <w:rsid w:val="00D0406C"/>
    <w:rsid w:val="00D040F9"/>
    <w:rsid w:val="00F219D1"/>
    <w:rsid w:val="00F7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E30D7-2BED-4E7D-994D-903E18A6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0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Barry</dc:creator>
  <cp:keywords/>
  <dc:description/>
  <cp:lastModifiedBy>Rosemary Delaney-Smith</cp:lastModifiedBy>
  <cp:revision>2</cp:revision>
  <cp:lastPrinted>2022-10-20T15:31:00Z</cp:lastPrinted>
  <dcterms:created xsi:type="dcterms:W3CDTF">2022-10-21T15:28:00Z</dcterms:created>
  <dcterms:modified xsi:type="dcterms:W3CDTF">2022-10-21T15:28:00Z</dcterms:modified>
</cp:coreProperties>
</file>